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1"/>
          <w:sz w:val="44"/>
          <w:szCs w:val="44"/>
        </w:rPr>
        <w:t>贵州省普通本科高校“金课”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320" w:firstLineChars="300"/>
        <w:jc w:val="both"/>
        <w:textAlignment w:val="auto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一流课程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）评选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为深入贯彻习近平总书记关于教育的重要论述，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贯彻落实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全国教育大会、新时代全国高等学校本科教育工作会议精神，根据《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教育部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关于加快建设高水平本科教育全面提高人才培养能力的意见》</w:t>
      </w:r>
      <w:r>
        <w:rPr>
          <w:rFonts w:hint="eastAsia" w:ascii="仿宋" w:hAnsi="仿宋" w:eastAsia="仿宋" w:cs="仿宋_GB2312"/>
          <w:sz w:val="32"/>
          <w:szCs w:val="32"/>
        </w:rPr>
        <w:t>（教高〔201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〕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号）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《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教育部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关于深化本科教育教学改革全面提高人才培养质量的意见》</w:t>
      </w:r>
      <w:r>
        <w:rPr>
          <w:rFonts w:hint="eastAsia" w:ascii="仿宋" w:hAnsi="仿宋" w:eastAsia="仿宋" w:cs="仿宋_GB2312"/>
          <w:sz w:val="32"/>
          <w:szCs w:val="32"/>
        </w:rPr>
        <w:t>（教高〔2019〕6号）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《教育部办公厅关于实施一流本科专业建设“双万计划”的通知》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教高厅函〔2019〕18号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_GB2312"/>
          <w:sz w:val="32"/>
          <w:szCs w:val="32"/>
        </w:rPr>
        <w:t>《教育部关于一流本科课程建设的实施意见》（教高〔2019〕8号）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和《贵州省推进教育现代化建设特色教育强省实施纲要（2018-2027年）》等文件精神</w:t>
      </w:r>
      <w:r>
        <w:rPr>
          <w:rFonts w:hint="eastAsia" w:ascii="仿宋" w:hAnsi="仿宋" w:eastAsia="仿宋" w:cs="仿宋_GB2312"/>
          <w:sz w:val="32"/>
          <w:szCs w:val="32"/>
        </w:rPr>
        <w:t>，结合《贵州省加快推进一流本科教育建设实施方案》（黔教(委)发〔2019〕47号）及我省实际，特制定本方案。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一、工作原则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（一）突出战略需求。</w:t>
      </w:r>
      <w:r>
        <w:rPr>
          <w:rFonts w:hint="eastAsia" w:ascii="仿宋" w:hAnsi="仿宋" w:eastAsia="仿宋" w:cs="仿宋_GB2312"/>
          <w:sz w:val="32"/>
          <w:szCs w:val="32"/>
        </w:rPr>
        <w:t>鼓励和支持各高校聚焦国家重大战略部署，紧密结合地方经济发展需求，围绕乡村振兴、大数据、大生态开展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课程</w:t>
      </w:r>
      <w:r>
        <w:rPr>
          <w:rFonts w:hint="eastAsia" w:ascii="仿宋" w:hAnsi="仿宋" w:eastAsia="仿宋" w:cs="仿宋_GB2312"/>
          <w:sz w:val="32"/>
          <w:szCs w:val="32"/>
        </w:rPr>
        <w:t>建设，服务新型工业化、新型城镇化、农业现代化、旅游产业化，建设适应创新型、复合型、应用型人才培养需要的“金课”。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（二）坚持分类建设。</w:t>
      </w:r>
      <w:r>
        <w:rPr>
          <w:rFonts w:hint="eastAsia" w:ascii="仿宋" w:hAnsi="仿宋" w:eastAsia="仿宋" w:cs="仿宋_GB2312"/>
          <w:sz w:val="32"/>
          <w:szCs w:val="32"/>
        </w:rPr>
        <w:t>依据高校办学定位和人才培养目标，坚持应用驱动、建以致用，整合优质教育资源和技术资源，实现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部省合建高校</w:t>
      </w:r>
      <w:r>
        <w:rPr>
          <w:rFonts w:hint="eastAsia" w:ascii="仿宋" w:hAnsi="仿宋" w:eastAsia="仿宋" w:cs="仿宋_GB2312"/>
          <w:sz w:val="32"/>
          <w:szCs w:val="32"/>
        </w:rPr>
        <w:t>、省属高校、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市州</w:t>
      </w:r>
      <w:r>
        <w:rPr>
          <w:rFonts w:hint="eastAsia" w:ascii="仿宋" w:hAnsi="仿宋" w:eastAsia="仿宋" w:cs="仿宋_GB2312"/>
          <w:sz w:val="32"/>
          <w:szCs w:val="32"/>
        </w:rPr>
        <w:t>高校等不同类型高校“金课”建设全覆盖。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（三）坚持扶优扶特。</w:t>
      </w:r>
      <w:r>
        <w:rPr>
          <w:rFonts w:hint="eastAsia" w:ascii="仿宋" w:hAnsi="仿宋" w:eastAsia="仿宋" w:cs="仿宋_GB2312"/>
          <w:sz w:val="32"/>
          <w:szCs w:val="32"/>
        </w:rPr>
        <w:t>引导各高校充分发挥办学特色，结合一流学科、一流专业建设优势，依据专业定位和建设基础，在不同领域各展所长，有规划、有重点地建设特色鲜明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不同类别的“金课”，实现“金课”多样化，为一流学科、一流专业建设提供有力支撑。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（四）坚持“三性一度”。</w:t>
      </w:r>
      <w:r>
        <w:rPr>
          <w:rFonts w:hint="eastAsia" w:ascii="仿宋" w:hAnsi="仿宋" w:eastAsia="仿宋" w:cs="仿宋_GB2312"/>
          <w:sz w:val="32"/>
          <w:szCs w:val="32"/>
        </w:rPr>
        <w:t>深度挖掘课程的思政元素，在知识传授中注重主流价值观引领，强化课程“思政性”。增强课程科学性、实践性，注重提高学生综合素质，培养勇于探索的创新精神和善于解决问题的综合能力，提高课程“高阶性”。大力推进现代信息技术与教学深度融合，积极引导学生进行探究式与个性化学习；教学内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充分</w:t>
      </w:r>
      <w:r>
        <w:rPr>
          <w:rFonts w:hint="eastAsia" w:ascii="仿宋" w:hAnsi="仿宋" w:eastAsia="仿宋" w:cs="仿宋_GB2312"/>
          <w:sz w:val="32"/>
          <w:szCs w:val="32"/>
        </w:rPr>
        <w:t>体现时代性、前沿性，主动适应新技术、新产业、新业态、新模式的发展，及时将学术研究、科技发展成果引入课程，突出课程“创新性”。增加课程设计研究性、创新性、综合性内容，加大学生学习投入，科学“增负”，让学生体验“跳一跳才能够得着”的学习挑战；严格考核考试评价，增强学生经过刻苦学习收获能力和素质提高的成就感，增加课程“挑战度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用三年时间，构建“国家级—省级—校级”“金课”建设体系，打造一批具有“三性一度”的线上、线下、线上线下混合式、虚拟仿真实验教学和社会实践“金课”。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（一）国家级一流本科课程。</w:t>
      </w:r>
      <w:r>
        <w:rPr>
          <w:rFonts w:hint="eastAsia" w:ascii="仿宋" w:hAnsi="仿宋" w:eastAsia="仿宋" w:cs="仿宋_GB2312"/>
          <w:sz w:val="32"/>
          <w:szCs w:val="32"/>
        </w:rPr>
        <w:t>按照教育部“双万计划”国家级一流本科课程推荐认定办法，推荐、建设100门左右国家级一流本科课程。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（二）省级“金课”。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评定</w:t>
      </w:r>
      <w:r>
        <w:rPr>
          <w:rFonts w:hint="eastAsia" w:ascii="仿宋" w:hAnsi="仿宋" w:eastAsia="仿宋" w:cs="仿宋_GB2312"/>
          <w:sz w:val="32"/>
          <w:szCs w:val="32"/>
        </w:rPr>
        <w:t>2500门左右省级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“金课”</w:t>
      </w:r>
      <w:r>
        <w:rPr>
          <w:rFonts w:hint="eastAsia" w:ascii="仿宋" w:hAnsi="仿宋" w:eastAsia="仿宋" w:cs="仿宋_GB2312"/>
          <w:sz w:val="32"/>
          <w:szCs w:val="32"/>
        </w:rPr>
        <w:t>。其中，线上“金课”400门左右，线下“金课”600门左右，线上线下混合式“金课”1000门左右，虚拟仿真实验教学“金课”300门左右，社会实践“金课”200门左右。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（三）校级“金课”。</w:t>
      </w:r>
      <w:r>
        <w:rPr>
          <w:rFonts w:hint="eastAsia" w:ascii="仿宋" w:hAnsi="仿宋" w:eastAsia="仿宋" w:cs="仿宋_GB2312"/>
          <w:sz w:val="32"/>
          <w:szCs w:val="32"/>
        </w:rPr>
        <w:t>各高校根据本校教育教学改革发展需求，因校制宜，因课制宜，建设校级“金课”。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工作</w:t>
      </w:r>
      <w:r>
        <w:rPr>
          <w:rFonts w:hint="eastAsia" w:ascii="黑体" w:hAnsi="黑体" w:eastAsia="黑体" w:cs="黑体"/>
          <w:sz w:val="32"/>
          <w:szCs w:val="32"/>
        </w:rPr>
        <w:t>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（一）转变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  <w:lang w:eastAsia="zh-CN"/>
        </w:rPr>
        <w:t>思想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观念，创新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  <w:lang w:eastAsia="zh-CN"/>
        </w:rPr>
        <w:t>建设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理念。</w:t>
      </w:r>
      <w:r>
        <w:rPr>
          <w:rFonts w:hint="eastAsia" w:ascii="仿宋" w:hAnsi="仿宋" w:eastAsia="仿宋" w:cs="仿宋_GB2312"/>
          <w:sz w:val="32"/>
          <w:szCs w:val="32"/>
        </w:rPr>
        <w:t>要以新理念引领“金课”建设。推动课程思政理念形成广泛共识，构建全员全程全方位育人大格局。坚持学生中心、产出导向、持续改进的理念，立足经济社会发展需求和人才培养目标，聚焦“四新”建设，体现多学科思维融合、产业技术与学科理论融合、跨专业能力融合、多学科项目实践融合，建设一批培养创新型、复合型人才的“金课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（二）整合课程资源，优化课程内容。</w:t>
      </w:r>
      <w:r>
        <w:rPr>
          <w:rFonts w:hint="eastAsia" w:ascii="仿宋" w:hAnsi="仿宋" w:eastAsia="仿宋" w:cs="仿宋_GB2312"/>
          <w:sz w:val="32"/>
          <w:szCs w:val="32"/>
        </w:rPr>
        <w:t>要以目标导向加强课程建设。立足贵州经济社会发展需求和人才培养目标，聚焦“四新”建设，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基于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OBE等先进教育理念</w:t>
      </w:r>
      <w:r>
        <w:rPr>
          <w:rFonts w:hint="eastAsia" w:ascii="仿宋" w:hAnsi="仿宋" w:eastAsia="仿宋" w:cs="仿宋_GB2312"/>
          <w:sz w:val="32"/>
          <w:szCs w:val="32"/>
        </w:rPr>
        <w:t>，优化重构教学内容与课程体系，促进多学科思维融合、产业技术与学科理论融合、跨专业能力融合、多学科项目实践融合，深化产教融合协同育人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（三）强化职业培训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提升教学能力。</w:t>
      </w:r>
      <w:r>
        <w:rPr>
          <w:rFonts w:hint="eastAsia" w:ascii="仿宋" w:hAnsi="仿宋" w:eastAsia="仿宋" w:cs="仿宋_GB2312"/>
          <w:sz w:val="32"/>
          <w:szCs w:val="32"/>
        </w:rPr>
        <w:t>以培养培训为关键点提升教师教学能力。实现基层教学组织全覆盖，把全体高校教师纳入基层教学组织，充分发挥基层教学组织在教学研讨、教学研究、集体备课等方面的作用。实现教师职业培训、终身学习全覆盖，推动教师培训常态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（四）创新教学手段，丰富教学形式。</w:t>
      </w:r>
      <w:r>
        <w:rPr>
          <w:rFonts w:hint="eastAsia" w:ascii="仿宋" w:hAnsi="仿宋" w:eastAsia="仿宋" w:cs="仿宋_GB2312"/>
          <w:sz w:val="32"/>
          <w:szCs w:val="32"/>
        </w:rPr>
        <w:t>强化课堂设计，解决好怎么讲好课的问题，杜绝单纯知识传递、忽视能力素质培养的现象。强化现代信息技术与教育教学深度融合，解决好教与学模式创新的问题，杜绝信息技术应用的简单化、形式化。强化师生互动、生生互动，解决好创新性、批判性思维培养的问题，杜绝教师满堂灌、学生被动听的现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（五）完善过程管理，实施科学评价。</w:t>
      </w:r>
      <w:r>
        <w:rPr>
          <w:rFonts w:hint="eastAsia" w:ascii="仿宋" w:hAnsi="仿宋" w:eastAsia="仿宋" w:cs="仿宋_GB2312"/>
          <w:sz w:val="32"/>
          <w:szCs w:val="32"/>
        </w:rPr>
        <w:t>以激发学习动力和专业志趣为着力点完善过程评价制度。强化课程思政引领，建立完善学生思想政治素养的课程考评方法。加强对学生课堂内外、线上线下学习的评价，提升课程学习的广度。加强研究型、项目式学习，丰富探究式、论文式、报告答辩式等作业评价方式，提升课程学习的深度。加强非标准化、综合性等评价，提升课程学习的挑战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（六）完善机制体制，严格课程管理。</w:t>
      </w:r>
      <w:r>
        <w:rPr>
          <w:rFonts w:hint="eastAsia" w:ascii="仿宋" w:hAnsi="仿宋" w:eastAsia="仿宋" w:cs="仿宋_GB2312"/>
          <w:sz w:val="32"/>
          <w:szCs w:val="32"/>
        </w:rPr>
        <w:t>以提高制度执行力为重点严格课程管理。严格执行教授为本科生授课制度，严格执行课程准入制度，发挥学校教学指导委员会课程把关作用，拒绝“水课”。严格考试纪律，严把考试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关</w:t>
      </w:r>
      <w:r>
        <w:rPr>
          <w:rFonts w:hint="eastAsia" w:ascii="仿宋" w:hAnsi="仿宋" w:eastAsia="仿宋" w:cs="仿宋_GB2312"/>
          <w:sz w:val="32"/>
          <w:szCs w:val="32"/>
        </w:rPr>
        <w:t>和毕业出口关。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（七）激发教师热情，完善激励政策。</w:t>
      </w:r>
      <w:r>
        <w:rPr>
          <w:rFonts w:hint="eastAsia" w:ascii="仿宋" w:hAnsi="仿宋" w:eastAsia="仿宋" w:cs="仿宋_GB2312"/>
          <w:sz w:val="32"/>
          <w:szCs w:val="32"/>
        </w:rPr>
        <w:t>以教学贡献为核心内容制定激励政策。加大课程建设的支持力度，加大优秀课程和教师的奖励力度，加大教学业绩在专业技术职务评聘中的权重，营造重视课程改革与建设的良好氛围。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评选</w:t>
      </w:r>
      <w:r>
        <w:rPr>
          <w:rFonts w:hint="eastAsia" w:ascii="黑体" w:hAnsi="黑体" w:eastAsia="黑体" w:cs="黑体"/>
          <w:sz w:val="32"/>
          <w:szCs w:val="32"/>
        </w:rPr>
        <w:t>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参与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评选</w:t>
      </w:r>
      <w:r>
        <w:rPr>
          <w:rFonts w:hint="eastAsia" w:ascii="仿宋" w:hAnsi="仿宋" w:eastAsia="仿宋" w:cs="仿宋_GB2312"/>
          <w:sz w:val="32"/>
          <w:szCs w:val="32"/>
        </w:rPr>
        <w:t>的课程至少经过两个学期或两个教学周期的建设和完善，在同类课程中具有鲜明特色、良好的教学效果。符合相关类型课程基本形态和特殊要求的同时，在以下多个方面具备实质性创新，有较大的借鉴和推广价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（一）教学理念先进。</w:t>
      </w:r>
      <w:r>
        <w:rPr>
          <w:rFonts w:hint="eastAsia" w:ascii="仿宋" w:hAnsi="仿宋" w:eastAsia="仿宋" w:cs="仿宋_GB2312"/>
          <w:sz w:val="32"/>
          <w:szCs w:val="32"/>
        </w:rPr>
        <w:t>坚持立德树人，体现以学生发展为中心，致力于开启学生内在潜力和学习动力，注重学生德智体美劳全面发展。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（二）课程团队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  <w:lang w:eastAsia="zh-CN"/>
        </w:rPr>
        <w:t>建设成效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显著。</w:t>
      </w:r>
      <w:r>
        <w:rPr>
          <w:rFonts w:hint="eastAsia" w:ascii="仿宋" w:hAnsi="仿宋" w:eastAsia="仿宋" w:cs="仿宋_GB2312"/>
          <w:sz w:val="32"/>
          <w:szCs w:val="32"/>
        </w:rPr>
        <w:t>课程团队教学改革意识强烈、理念先进，人员结构及任务分工合理。主讲教师具有丰富的教学经验、较高学术造诣，积极投身教学改革，教学能力强，能够运用新技术提高教学效率、提升教学质量。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（三）课程目标有效支撑培养目标达成。</w:t>
      </w:r>
      <w:r>
        <w:rPr>
          <w:rFonts w:hint="eastAsia" w:ascii="仿宋" w:hAnsi="仿宋" w:eastAsia="仿宋" w:cs="仿宋_GB2312"/>
          <w:sz w:val="32"/>
          <w:szCs w:val="32"/>
        </w:rPr>
        <w:t>课程目标符合学校办学定位和人才培养目标，注重知识、能力、素质培养。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（四）课程教学设计科学合理。</w:t>
      </w:r>
      <w:r>
        <w:rPr>
          <w:rFonts w:hint="eastAsia" w:ascii="仿宋" w:hAnsi="仿宋" w:eastAsia="仿宋" w:cs="仿宋_GB2312"/>
          <w:sz w:val="32"/>
          <w:szCs w:val="32"/>
        </w:rPr>
        <w:t>围绕目标达成、教学内容、组织实施和多元评价需求进行整体规划，教学策略、教学方法、教学过程、教学评价等设计合理。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（五）课程内容与时俱进。</w:t>
      </w:r>
      <w:r>
        <w:rPr>
          <w:rFonts w:hint="eastAsia" w:ascii="仿宋" w:hAnsi="仿宋" w:eastAsia="仿宋" w:cs="仿宋_GB2312"/>
          <w:sz w:val="32"/>
          <w:szCs w:val="32"/>
        </w:rPr>
        <w:t>课程内容结构符合学生成长规律，依据学科前沿动态与社会发展需求动态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及时</w:t>
      </w:r>
      <w:r>
        <w:rPr>
          <w:rFonts w:hint="eastAsia" w:ascii="仿宋" w:hAnsi="仿宋" w:eastAsia="仿宋" w:cs="仿宋_GB2312"/>
          <w:sz w:val="32"/>
          <w:szCs w:val="32"/>
        </w:rPr>
        <w:t>更新知识体系，契合课程目标，教材选用符合教育部和学校教材选用规定，教学资源丰富多样，体现思想性、科学性与时代性。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（六）教学组织与实施突出学生中心地位。</w:t>
      </w:r>
      <w:r>
        <w:rPr>
          <w:rFonts w:hint="eastAsia" w:ascii="仿宋" w:hAnsi="仿宋" w:eastAsia="仿宋" w:cs="仿宋_GB2312"/>
          <w:sz w:val="32"/>
          <w:szCs w:val="32"/>
        </w:rPr>
        <w:t>根据学生认知规律和接受特点，创新教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授</w:t>
      </w:r>
      <w:r>
        <w:rPr>
          <w:rFonts w:hint="eastAsia" w:ascii="仿宋" w:hAnsi="仿宋" w:eastAsia="仿宋" w:cs="仿宋_GB2312"/>
          <w:sz w:val="32"/>
          <w:szCs w:val="32"/>
        </w:rPr>
        <w:t>与学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习</w:t>
      </w:r>
      <w:r>
        <w:rPr>
          <w:rFonts w:hint="eastAsia" w:ascii="仿宋" w:hAnsi="仿宋" w:eastAsia="仿宋" w:cs="仿宋_GB2312"/>
          <w:sz w:val="32"/>
          <w:szCs w:val="32"/>
        </w:rPr>
        <w:t>模式，因材施教，促进师生之间、学生之间的交流互动、资源共享、知识生成，教学反馈及时，教学效果显著。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（七）课程管理与评价科学且可测量。</w:t>
      </w:r>
      <w:r>
        <w:rPr>
          <w:rFonts w:hint="eastAsia" w:ascii="仿宋" w:hAnsi="仿宋" w:eastAsia="仿宋" w:cs="仿宋_GB2312"/>
          <w:sz w:val="32"/>
          <w:szCs w:val="32"/>
        </w:rPr>
        <w:t>教师备课要求明确，学生学习管理严格。针对教学目标、教学内容、教学组织等采用多元化考核评价，过程可回溯，诊断改进积极有效。教学过程材料完整，可借鉴可监督。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（八）师德师风、学术不端等问题零容忍。</w:t>
      </w:r>
      <w:r>
        <w:rPr>
          <w:rFonts w:hint="eastAsia" w:ascii="仿宋" w:hAnsi="仿宋" w:eastAsia="仿宋" w:cs="仿宋_GB2312"/>
          <w:sz w:val="32"/>
          <w:szCs w:val="32"/>
        </w:rPr>
        <w:t>对课程团队成员存在师德师风问题、学术不端问题，五年内出现重大教学事故，课程内容存在思想性科学性问题的，采取“一票否决”。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组织实施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 w:val="0"/>
          <w:bCs w:val="0"/>
          <w:sz w:val="32"/>
          <w:szCs w:val="32"/>
        </w:rPr>
        <w:t>获批</w:t>
      </w:r>
      <w:r>
        <w:rPr>
          <w:rFonts w:hint="eastAsia" w:ascii="仿宋" w:hAnsi="仿宋" w:eastAsia="仿宋" w:cs="仿宋_GB2312"/>
          <w:sz w:val="32"/>
          <w:szCs w:val="32"/>
        </w:rPr>
        <w:t>为国家级一流课程的，直接认定为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</w:t>
      </w:r>
      <w:r>
        <w:rPr>
          <w:rFonts w:hint="eastAsia" w:ascii="仿宋" w:hAnsi="仿宋" w:eastAsia="仿宋" w:cs="仿宋_GB2312"/>
          <w:sz w:val="32"/>
          <w:szCs w:val="32"/>
        </w:rPr>
        <w:t>“金课”。</w:t>
      </w:r>
      <w:r>
        <w:rPr>
          <w:rFonts w:ascii="仿宋" w:hAnsi="仿宋" w:eastAsia="仿宋" w:cs="仿宋_GB2312"/>
          <w:b w:val="0"/>
          <w:bCs w:val="0"/>
          <w:sz w:val="32"/>
          <w:szCs w:val="32"/>
        </w:rPr>
        <w:t>分年度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评选</w:t>
      </w:r>
      <w:r>
        <w:rPr>
          <w:rFonts w:ascii="仿宋" w:hAnsi="仿宋" w:eastAsia="仿宋" w:cs="仿宋_GB2312"/>
          <w:b w:val="0"/>
          <w:bCs w:val="0"/>
          <w:sz w:val="32"/>
          <w:szCs w:val="32"/>
        </w:rPr>
        <w:t>省级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“金课”</w:t>
      </w:r>
      <w:r>
        <w:rPr>
          <w:rFonts w:ascii="仿宋" w:hAnsi="仿宋" w:eastAsia="仿宋" w:cs="仿宋_GB2312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将</w:t>
      </w:r>
      <w:r>
        <w:rPr>
          <w:rFonts w:hint="eastAsia" w:ascii="仿宋" w:hAnsi="仿宋" w:eastAsia="仿宋" w:cs="仿宋_GB2312"/>
          <w:sz w:val="32"/>
          <w:szCs w:val="32"/>
        </w:rPr>
        <w:t>“金课”的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评选</w:t>
      </w:r>
      <w:r>
        <w:rPr>
          <w:rFonts w:hint="eastAsia" w:ascii="仿宋" w:hAnsi="仿宋" w:eastAsia="仿宋" w:cs="仿宋_GB2312"/>
          <w:sz w:val="32"/>
          <w:szCs w:val="32"/>
        </w:rPr>
        <w:t>权限下放到各高校，采取“团队申报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学校自评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教育厅备案”的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评选</w:t>
      </w:r>
      <w:r>
        <w:rPr>
          <w:rFonts w:hint="eastAsia" w:ascii="仿宋" w:hAnsi="仿宋" w:eastAsia="仿宋" w:cs="仿宋_GB2312"/>
          <w:sz w:val="32"/>
          <w:szCs w:val="32"/>
        </w:rPr>
        <w:t>方式，扶强扶特，突出创新（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评选</w:t>
      </w:r>
      <w:r>
        <w:rPr>
          <w:rFonts w:hint="eastAsia" w:ascii="仿宋" w:hAnsi="仿宋" w:eastAsia="仿宋" w:cs="仿宋_GB2312"/>
          <w:sz w:val="32"/>
          <w:szCs w:val="32"/>
        </w:rPr>
        <w:t>指标见附件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2-1</w:t>
      </w:r>
      <w:r>
        <w:rPr>
          <w:rFonts w:hint="eastAsia" w:ascii="仿宋" w:hAnsi="仿宋" w:eastAsia="仿宋" w:cs="仿宋_GB2312"/>
          <w:sz w:val="32"/>
          <w:szCs w:val="32"/>
        </w:rPr>
        <w:t>）。学校成立遴选组织机构及专家委员会，制定遴选实施办法，组织实施遴选，经党委会（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_GB2312"/>
          <w:sz w:val="32"/>
          <w:szCs w:val="32"/>
        </w:rPr>
        <w:t>校长办公会）审定，并在全校范围内进行不少于3天的公示，确无异议后报省教育厅。原则上，一流专业应有“金课”作为支撑。国家级一流专业须至少建设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门省级“金课”，省级“金专”须至少建设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门省级“金课”。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  <w:lang w:eastAsia="zh-CN"/>
        </w:rPr>
        <w:t>一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）实时动态管理。</w:t>
      </w:r>
      <w:r>
        <w:rPr>
          <w:rFonts w:hint="eastAsia" w:ascii="仿宋" w:hAnsi="仿宋" w:eastAsia="仿宋" w:cs="仿宋_GB2312"/>
          <w:sz w:val="32"/>
          <w:szCs w:val="32"/>
        </w:rPr>
        <w:t>国家级一流课程的动态管理按照教育部规定执行。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</w:t>
      </w:r>
      <w:r>
        <w:rPr>
          <w:rFonts w:hint="eastAsia" w:ascii="仿宋" w:hAnsi="仿宋" w:eastAsia="仿宋" w:cs="仿宋_GB2312"/>
          <w:sz w:val="32"/>
          <w:szCs w:val="32"/>
        </w:rPr>
        <w:t>教育厅对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评选</w:t>
      </w:r>
      <w:r>
        <w:rPr>
          <w:rFonts w:hint="eastAsia" w:ascii="仿宋" w:hAnsi="仿宋" w:eastAsia="仿宋" w:cs="仿宋_GB2312"/>
          <w:sz w:val="32"/>
          <w:szCs w:val="32"/>
        </w:rPr>
        <w:t>的省级“金课”择优推荐申报各类国家级“金课”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。对省级“金课”</w:t>
      </w:r>
      <w:r>
        <w:rPr>
          <w:rFonts w:hint="eastAsia" w:ascii="仿宋" w:hAnsi="仿宋" w:eastAsia="仿宋" w:cs="仿宋_GB2312"/>
          <w:sz w:val="32"/>
          <w:szCs w:val="32"/>
        </w:rPr>
        <w:t>实施动态管理，对课程实际应用、教学效果和共享等进行跟踪监测。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课程</w:t>
      </w:r>
      <w:r>
        <w:rPr>
          <w:rFonts w:hint="eastAsia" w:ascii="仿宋" w:hAnsi="仿宋" w:eastAsia="仿宋" w:cs="仿宋_GB2312"/>
          <w:sz w:val="32"/>
          <w:szCs w:val="32"/>
        </w:rPr>
        <w:t>出现严重质量问题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_GB2312"/>
          <w:sz w:val="32"/>
          <w:szCs w:val="32"/>
        </w:rPr>
        <w:t>课程团队成员出现师德师风等问题，撤销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其“金课”称号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楷体" w:hAnsi="楷体" w:eastAsia="楷体" w:cs="仿宋_GB2312"/>
          <w:b w:val="0"/>
          <w:bCs w:val="0"/>
          <w:sz w:val="32"/>
          <w:szCs w:val="32"/>
        </w:rPr>
        <w:t>）强化建设责任。</w:t>
      </w:r>
      <w:r>
        <w:rPr>
          <w:rFonts w:hint="eastAsia" w:ascii="仿宋" w:hAnsi="仿宋" w:eastAsia="仿宋" w:cs="仿宋_GB2312"/>
          <w:sz w:val="32"/>
          <w:szCs w:val="32"/>
        </w:rPr>
        <w:t>高校要提高认识，加强工作领导。优化课程体系，做好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“金课”</w:t>
      </w:r>
      <w:r>
        <w:rPr>
          <w:rFonts w:hint="eastAsia" w:ascii="仿宋" w:hAnsi="仿宋" w:eastAsia="仿宋" w:cs="仿宋_GB2312"/>
          <w:sz w:val="32"/>
          <w:szCs w:val="32"/>
        </w:rPr>
        <w:t>建设规划，组建优秀教师团队，建设一流本科课程，建立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健全</w:t>
      </w:r>
      <w:r>
        <w:rPr>
          <w:rFonts w:hint="eastAsia" w:ascii="仿宋" w:hAnsi="仿宋" w:eastAsia="仿宋" w:cs="仿宋_GB2312"/>
          <w:sz w:val="32"/>
          <w:szCs w:val="32"/>
        </w:rPr>
        <w:t>校内课程建设和激励机制，完善课程管理和评价机制。加强本科课程建设与应用，提升本科课程的思政性、高阶性、创新性和挑战度。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附件：贵州省普通本科高校金课（一流课程）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评选</w:t>
      </w:r>
      <w:r>
        <w:rPr>
          <w:rFonts w:hint="eastAsia" w:ascii="仿宋" w:hAnsi="仿宋" w:eastAsia="仿宋" w:cs="仿宋_GB2312"/>
          <w:sz w:val="32"/>
          <w:szCs w:val="32"/>
        </w:rPr>
        <w:t>指标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84" w:right="1701" w:bottom="1701" w:left="1701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贵州省普通本科高校金课（一流课程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）评选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指标</w:t>
      </w:r>
    </w:p>
    <w:p>
      <w:pPr>
        <w:rPr>
          <w:rFonts w:ascii="楷体" w:hAnsi="楷体" w:eastAsia="楷体"/>
          <w:sz w:val="24"/>
        </w:rPr>
      </w:pP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学校（盖章）：              课程名称：                              课程负责人：              填报时间：</w:t>
      </w:r>
    </w:p>
    <w:tbl>
      <w:tblPr>
        <w:tblStyle w:val="5"/>
        <w:tblW w:w="13798" w:type="dxa"/>
        <w:tblInd w:w="-4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10233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3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指标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8"/>
                <w:lang w:eastAsia="zh-CN"/>
              </w:rPr>
              <w:t>类别</w:t>
            </w:r>
          </w:p>
        </w:tc>
        <w:tc>
          <w:tcPr>
            <w:tcW w:w="1023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  <w:lang w:eastAsia="zh-CN"/>
              </w:rPr>
              <w:t>指标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内容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课程教学理念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（10分）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课程以学生为中心，目标科学合理，坚持知识、能力、素质有机融合，符合学校办学定位和专业人才培养目标，能够有效支持专业毕业要求的达成，可测量可评价。制定有基于OBE等先进教育理念的课程教学大纲或标准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课程思政与专业教育有机融合，课程育人理念贯穿其中。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课程教学设计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（10分）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1.制定有基于学生中心的完整的课程教学设计。教学设计理念新颖，教学策略、教学方法、教学过程、教学评价等设计充分体现学生能力发展为中心的教学理念。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2.围绕目标达成、教学内容、组织实施和多元评价需求，对课程进行整体规划，预期课程教学目标可有效达成。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3.课程教学设计充分体现学生的自主学习、合作学习、探究学习等，有效开展教学反思。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教学方法改革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（15分）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1.在课堂教学中积极实施教学方法改革。灵活运用多种教学方法，注重激发学生学习志趣和潜能，有效调动学生的学习积极性，促进学生积极思考，增强学生的社会责任感、创新精神和实践能力。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pStyle w:val="7"/>
              <w:ind w:firstLine="0" w:firstLineChars="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2.打破课堂沉默。除课堂讲授外，合理开展研讨式、实验实践、小组合作、写作、案例研究等多种教学活动，有效调动学生的学习兴趣与学习积极性。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pStyle w:val="7"/>
              <w:ind w:firstLine="0" w:firstLineChars="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3.充分合理使用现代教育技术手段。在激发学生学习兴趣和提高教学效果方面取得实效，实现现代信息技术与教育教学的深度融合。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教学内容改革（20分）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主动结合社会需求、学校人才培养定位和专业人才培养目标，聚焦新工科、新医科、新农科、新文科建设，对课程教学内容与知识体系进行优化重构。课程内容充分体现多学科思维融合、产业技术与学科理论融合、跨专业能力融合、多学科项目实践融合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2.教学内容全面体现“三性一度”，充分体现学科的前沿性与时代性，增加研究性、创新性、综合性内容，提升课程的高阶性和学业挑战度。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3.全方位全过程深入实施课程思政，成果突出。课程思政全方位有机融入课程目标设计、教学大纲、教材选用、教案课件编写等各方面，贯穿于课堂授课、教学研讨、实验实训、作业论文等各环节。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4.改革案例：（1）提供充分体现“三性一度”的课程改革优秀案例1篇；或提供典型的课程思政教学案例1篇。（2）案例要有背景，有举措，有成效，可推广。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教学资源建设（15分）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1.自编教材/讲义：课程团队出版有本课程国家级规划教材，并在教学过程中使用。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2.数字化教学资源库：建设有包括教案、课件、习题、研究文献、计算模型、分析数据等多种类型的数字化教学资源库。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3.智慧教学：依托智慧教学工具建设课程，教学设计规范，教学活动有效，教学资源丰富，教学效果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良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好。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教学团队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（10分）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1.课程负责人具有较高的教学水平和丰富的高校教学经历，满足以下条件之三：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（1）硕士及以上学历；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（2）副教授任职资格；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（3）三年以上本课程授课经验；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（4）主持完成省部级教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改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2.教学团队有良好的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年龄、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学历、职称结构，且满足以下条件：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（1）课程团队中博士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至少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1人；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（2）硕士以上学历占比70%以上；</w:t>
            </w:r>
          </w:p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（3）副高级职称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至少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2人。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931" w:type="dxa"/>
            <w:vMerge w:val="continue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numPr>
                <w:ilvl w:val="0"/>
                <w:numId w:val="1"/>
              </w:num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课程团队主要成员（排名前三）曾获得省部级及以上教学类荣誉，如：</w:t>
            </w:r>
          </w:p>
          <w:p>
            <w:pPr>
              <w:numPr>
                <w:ilvl w:val="0"/>
                <w:numId w:val="2"/>
              </w:num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教学名师、“优秀教师”称号、“教育工作先进个人”称号等；</w:t>
            </w:r>
          </w:p>
          <w:p>
            <w:pPr>
              <w:numPr>
                <w:ilvl w:val="0"/>
                <w:numId w:val="2"/>
              </w:num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获省部级及以上教师教学竞赛二等奖及以上。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课程考核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（10分）</w:t>
            </w:r>
          </w:p>
        </w:tc>
        <w:tc>
          <w:tcPr>
            <w:tcW w:w="10233" w:type="dxa"/>
            <w:vAlign w:val="center"/>
          </w:tcPr>
          <w:p>
            <w:pPr>
              <w:pStyle w:val="7"/>
              <w:ind w:firstLine="0" w:firstLineChars="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1.制定有非标准化、综合性过程考核评价方案，过程可溯，制定有完善的过程评价方法，加强对学生平时学习过程、课内课外的评价，能依据方案完成教学目标达成度评价。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pStyle w:val="7"/>
              <w:ind w:firstLine="0" w:firstLineChars="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2.课程考核方式多元：实施研究型、项目式学习，丰富探究式、论文式、报告答辩式等多元评价方式，课程学习深度有效提升。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3.课程诊断与改进：教学评价考核的结果及时有效反馈给学生，促进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学习；教师合理运用课程评价结果，持续改进教学。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9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成效与特色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（10分）</w:t>
            </w: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课程团队成果显著，取得以下教学成果之一：（1）省部级及以上教学成果奖；（2）发表1篇C刊教学改革与研究论文；（3）出版国家级规划教材1部。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课程教学团队立项有省厅级及以上（含教育部相关司局）的基于本课程教学内容与课程体系改革研究项目1项及以上。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课程已在国家大型开放平台上线，运行两轮次以上，公共课程不少于1000人选课，专业课程不少于200人选课，学生评价效果好。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课程教学的改革案例，被省级、国家级媒体宣传报道。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3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3" w:type="dxa"/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6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3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总分</w:t>
            </w:r>
          </w:p>
        </w:tc>
        <w:tc>
          <w:tcPr>
            <w:tcW w:w="1186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sectPr>
      <w:pgSz w:w="16838" w:h="11906" w:orient="landscape"/>
      <w:pgMar w:top="1803" w:right="1440" w:bottom="1803" w:left="1440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B61E99"/>
    <w:multiLevelType w:val="singleLevel"/>
    <w:tmpl w:val="8BB61E9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1BA39EB"/>
    <w:multiLevelType w:val="singleLevel"/>
    <w:tmpl w:val="E1BA39EB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74574"/>
    <w:rsid w:val="03A85E51"/>
    <w:rsid w:val="1F8553E7"/>
    <w:rsid w:val="24905C63"/>
    <w:rsid w:val="25E979E4"/>
    <w:rsid w:val="32EB3CF1"/>
    <w:rsid w:val="3FA74574"/>
    <w:rsid w:val="4C7C6A13"/>
    <w:rsid w:val="711B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